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96154" w14:textId="33F1FE88" w:rsidR="00CB06F1" w:rsidRDefault="00CB06F1" w:rsidP="00CB06F1">
      <w:pPr>
        <w:pStyle w:val="Default"/>
        <w:jc w:val="center"/>
        <w:rPr>
          <w:sz w:val="32"/>
          <w:szCs w:val="32"/>
        </w:rPr>
      </w:pPr>
      <w:r>
        <w:rPr>
          <w:b/>
          <w:bCs/>
          <w:sz w:val="40"/>
          <w:szCs w:val="40"/>
        </w:rPr>
        <w:t>D</w:t>
      </w:r>
      <w:r>
        <w:rPr>
          <w:b/>
          <w:bCs/>
          <w:sz w:val="32"/>
          <w:szCs w:val="32"/>
        </w:rPr>
        <w:t xml:space="preserve">ISPLAY </w:t>
      </w:r>
      <w:r>
        <w:rPr>
          <w:b/>
          <w:bCs/>
          <w:sz w:val="40"/>
          <w:szCs w:val="40"/>
        </w:rPr>
        <w:t>P</w:t>
      </w:r>
      <w:r>
        <w:rPr>
          <w:b/>
          <w:bCs/>
          <w:sz w:val="32"/>
          <w:szCs w:val="32"/>
        </w:rPr>
        <w:t>OLICY</w:t>
      </w:r>
    </w:p>
    <w:p w14:paraId="1C5795D4" w14:textId="77777777" w:rsidR="00CB06F1" w:rsidRDefault="00CB06F1" w:rsidP="00CB06F1">
      <w:pPr>
        <w:pStyle w:val="Default"/>
        <w:rPr>
          <w:sz w:val="23"/>
          <w:szCs w:val="23"/>
        </w:rPr>
      </w:pPr>
      <w:r>
        <w:rPr>
          <w:sz w:val="23"/>
          <w:szCs w:val="23"/>
        </w:rPr>
        <w:t xml:space="preserve">The Nevada Public Library will provide, at its discretion, limited space to community groups and nonprofits for the distribution of community information materials, free handouts or the posting of flyers, notices, and small posters, which promote educational, cultural, intellectual, recreational, or charitable activities. Displays advocating a specific individual or issue will not be allowed. The Nevada Public Library shall be held harmless from liability in the event of damage or loss to materials being displayed regardless of the circumstances. Requests for such displays should come to the library director or designee and will be considered on a first-come basis. Permission to display items in the library does not imply the Nevada Public Library’s endorsement. </w:t>
      </w:r>
    </w:p>
    <w:p w14:paraId="54916C2D" w14:textId="77777777" w:rsidR="00CB06F1" w:rsidRDefault="00CB06F1" w:rsidP="00CB06F1">
      <w:pPr>
        <w:pStyle w:val="Default"/>
        <w:rPr>
          <w:sz w:val="23"/>
          <w:szCs w:val="23"/>
        </w:rPr>
      </w:pPr>
    </w:p>
    <w:p w14:paraId="671BB656" w14:textId="77777777" w:rsidR="00CB06F1" w:rsidRDefault="00CB06F1" w:rsidP="00CB06F1">
      <w:pPr>
        <w:pStyle w:val="Default"/>
        <w:rPr>
          <w:sz w:val="23"/>
          <w:szCs w:val="23"/>
        </w:rPr>
      </w:pPr>
      <w:r>
        <w:rPr>
          <w:color w:val="1F4E79"/>
          <w:sz w:val="23"/>
          <w:szCs w:val="23"/>
        </w:rPr>
        <w:t xml:space="preserve">Bulletin boards: </w:t>
      </w:r>
      <w:r>
        <w:rPr>
          <w:sz w:val="23"/>
          <w:szCs w:val="23"/>
        </w:rPr>
        <w:t xml:space="preserve">The bulletin board in the library is available for the display of posters, fliers and promotional materials of nonprofit organizations and community groups. Any materials should be submitted to staff at the main desk with final approval given by the library director or designee. Materials are posted only as time and space permit. </w:t>
      </w:r>
    </w:p>
    <w:p w14:paraId="2D2EF6A8" w14:textId="77777777" w:rsidR="00CB06F1" w:rsidRDefault="00CB06F1" w:rsidP="00CB06F1">
      <w:pPr>
        <w:pStyle w:val="Default"/>
        <w:ind w:left="720"/>
        <w:rPr>
          <w:sz w:val="23"/>
          <w:szCs w:val="23"/>
        </w:rPr>
      </w:pPr>
      <w:r>
        <w:rPr>
          <w:sz w:val="23"/>
          <w:szCs w:val="23"/>
        </w:rPr>
        <w:t xml:space="preserve">• Local nonprofit organizations and community groups may post events, items, and fundraisers with the director’s permission as long as proceeds are going to the local nonprofit group. </w:t>
      </w:r>
    </w:p>
    <w:p w14:paraId="7DB956B5" w14:textId="77777777" w:rsidR="00CB06F1" w:rsidRDefault="00CB06F1" w:rsidP="00CB06F1">
      <w:pPr>
        <w:pStyle w:val="Default"/>
        <w:ind w:left="720"/>
        <w:rPr>
          <w:sz w:val="23"/>
          <w:szCs w:val="23"/>
        </w:rPr>
      </w:pPr>
      <w:r>
        <w:rPr>
          <w:sz w:val="23"/>
          <w:szCs w:val="23"/>
        </w:rPr>
        <w:t xml:space="preserve">• Preferences will be given to events or services in Nevada or Story County items no larger than 8 ½” by 11”, and any public information from the City of Nevada. </w:t>
      </w:r>
    </w:p>
    <w:p w14:paraId="4A404920" w14:textId="77777777" w:rsidR="00CB06F1" w:rsidRDefault="00CB06F1" w:rsidP="00CB06F1">
      <w:pPr>
        <w:pStyle w:val="Default"/>
        <w:ind w:left="720"/>
        <w:rPr>
          <w:sz w:val="23"/>
          <w:szCs w:val="23"/>
        </w:rPr>
      </w:pPr>
      <w:r>
        <w:rPr>
          <w:sz w:val="23"/>
          <w:szCs w:val="23"/>
        </w:rPr>
        <w:t xml:space="preserve">• Items will remain posted until the event has occurred or for a maximum of 30 days as space allows. </w:t>
      </w:r>
    </w:p>
    <w:p w14:paraId="1F4235B5" w14:textId="77777777" w:rsidR="00CB06F1" w:rsidRDefault="00CB06F1" w:rsidP="00CB06F1">
      <w:pPr>
        <w:pStyle w:val="Default"/>
        <w:ind w:left="720"/>
        <w:rPr>
          <w:sz w:val="23"/>
          <w:szCs w:val="23"/>
        </w:rPr>
      </w:pPr>
      <w:r>
        <w:rPr>
          <w:sz w:val="23"/>
          <w:szCs w:val="23"/>
        </w:rPr>
        <w:t xml:space="preserve">• Materials will not be returned. </w:t>
      </w:r>
    </w:p>
    <w:p w14:paraId="4A131581" w14:textId="77777777" w:rsidR="00CB06F1" w:rsidRDefault="00CB06F1" w:rsidP="00CB06F1">
      <w:pPr>
        <w:pStyle w:val="Default"/>
        <w:ind w:left="720"/>
        <w:rPr>
          <w:sz w:val="23"/>
          <w:szCs w:val="23"/>
        </w:rPr>
      </w:pPr>
      <w:r>
        <w:rPr>
          <w:sz w:val="23"/>
          <w:szCs w:val="23"/>
        </w:rPr>
        <w:t xml:space="preserve">• Some materials may not be posted: items for sale, job postings (except by the City of Nevada), advertisements for business or commercial ventures, campaign flyers/signs, petitions, or items promoting doctrinal beliefs. </w:t>
      </w:r>
    </w:p>
    <w:p w14:paraId="592CCAE8" w14:textId="77777777" w:rsidR="00CB06F1" w:rsidRDefault="00CB06F1" w:rsidP="00CB06F1">
      <w:pPr>
        <w:pStyle w:val="Default"/>
        <w:rPr>
          <w:sz w:val="23"/>
          <w:szCs w:val="23"/>
        </w:rPr>
      </w:pPr>
    </w:p>
    <w:p w14:paraId="26710657" w14:textId="77777777" w:rsidR="00CB06F1" w:rsidRDefault="00CB06F1" w:rsidP="00CB06F1">
      <w:pPr>
        <w:pStyle w:val="Default"/>
        <w:rPr>
          <w:sz w:val="23"/>
          <w:szCs w:val="23"/>
        </w:rPr>
      </w:pPr>
      <w:r>
        <w:rPr>
          <w:color w:val="1F4E79"/>
          <w:sz w:val="23"/>
          <w:szCs w:val="23"/>
        </w:rPr>
        <w:t xml:space="preserve">Brochures: </w:t>
      </w:r>
      <w:r>
        <w:rPr>
          <w:sz w:val="23"/>
          <w:szCs w:val="23"/>
        </w:rPr>
        <w:t xml:space="preserve">Nonprofit community groups may submit multiple copies of brochures or fliers for distribution from the library’s brochure area. These materials should be given to staff at the circulation desk with final approval given by the library director or designee. Brochures will be restocked only as time and space permit. </w:t>
      </w:r>
    </w:p>
    <w:p w14:paraId="30F3E3E1" w14:textId="77777777" w:rsidR="00CB06F1" w:rsidRDefault="00CB06F1" w:rsidP="00CB06F1">
      <w:pPr>
        <w:pStyle w:val="Default"/>
        <w:rPr>
          <w:color w:val="1F4E79"/>
          <w:sz w:val="23"/>
          <w:szCs w:val="23"/>
        </w:rPr>
      </w:pPr>
    </w:p>
    <w:p w14:paraId="590D0C33" w14:textId="69EFD60F" w:rsidR="00CB06F1" w:rsidRDefault="00CB06F1" w:rsidP="00CB06F1">
      <w:pPr>
        <w:pStyle w:val="Default"/>
        <w:rPr>
          <w:sz w:val="23"/>
          <w:szCs w:val="23"/>
        </w:rPr>
      </w:pPr>
      <w:r>
        <w:rPr>
          <w:color w:val="1F4E79"/>
          <w:sz w:val="23"/>
          <w:szCs w:val="23"/>
        </w:rPr>
        <w:t xml:space="preserve">Waiver of Liability: </w:t>
      </w:r>
      <w:r>
        <w:rPr>
          <w:sz w:val="23"/>
          <w:szCs w:val="23"/>
        </w:rPr>
        <w:t xml:space="preserve">Groups and individuals displaying items in the library as listed below which they want returned must complete the Nevada Public Library Display and Exhibit Waiver of Liability. </w:t>
      </w:r>
    </w:p>
    <w:p w14:paraId="3BA5B59B" w14:textId="77777777" w:rsidR="00CB06F1" w:rsidRDefault="00CB06F1" w:rsidP="00CB06F1">
      <w:pPr>
        <w:pStyle w:val="Default"/>
        <w:rPr>
          <w:color w:val="1F4E79"/>
          <w:sz w:val="23"/>
          <w:szCs w:val="23"/>
        </w:rPr>
      </w:pPr>
    </w:p>
    <w:p w14:paraId="6499DD23" w14:textId="1779EDD5" w:rsidR="00CB06F1" w:rsidRDefault="00CB06F1" w:rsidP="00CB06F1">
      <w:pPr>
        <w:pStyle w:val="Default"/>
        <w:rPr>
          <w:sz w:val="23"/>
          <w:szCs w:val="23"/>
        </w:rPr>
      </w:pPr>
      <w:r>
        <w:rPr>
          <w:color w:val="1F4E79"/>
          <w:sz w:val="23"/>
          <w:szCs w:val="23"/>
        </w:rPr>
        <w:t xml:space="preserve">Display case: </w:t>
      </w:r>
      <w:r>
        <w:rPr>
          <w:sz w:val="23"/>
          <w:szCs w:val="23"/>
        </w:rPr>
        <w:t xml:space="preserve">The glass display case and portable display units are important elements of the library’s information, outreach, and public relations programs. The display case is closely identified by the public as a library promotion area. </w:t>
      </w:r>
    </w:p>
    <w:p w14:paraId="7DC57508" w14:textId="77777777" w:rsidR="00CB06F1" w:rsidRDefault="00CB06F1" w:rsidP="00CB06F1">
      <w:pPr>
        <w:pStyle w:val="Default"/>
        <w:ind w:left="720"/>
        <w:rPr>
          <w:sz w:val="23"/>
          <w:szCs w:val="23"/>
        </w:rPr>
      </w:pPr>
      <w:r>
        <w:rPr>
          <w:sz w:val="23"/>
          <w:szCs w:val="23"/>
        </w:rPr>
        <w:t xml:space="preserve">• Permission to use the case will be granted to nonprofit community organizations if such use will further the library’s program or mission. </w:t>
      </w:r>
    </w:p>
    <w:p w14:paraId="1B27B4A3" w14:textId="77777777" w:rsidR="00CB06F1" w:rsidRDefault="00CB06F1" w:rsidP="00CB06F1">
      <w:pPr>
        <w:pStyle w:val="Default"/>
        <w:ind w:left="720"/>
        <w:rPr>
          <w:sz w:val="23"/>
          <w:szCs w:val="23"/>
        </w:rPr>
      </w:pPr>
      <w:r>
        <w:rPr>
          <w:sz w:val="23"/>
          <w:szCs w:val="23"/>
        </w:rPr>
        <w:t xml:space="preserve">• Requests for use of the case should be made to the library director or designee. </w:t>
      </w:r>
    </w:p>
    <w:p w14:paraId="68D047D5" w14:textId="2D70A5A3" w:rsidR="00CB06F1" w:rsidRDefault="00CB06F1" w:rsidP="00CB06F1">
      <w:pPr>
        <w:pStyle w:val="Default"/>
        <w:ind w:left="720"/>
        <w:rPr>
          <w:sz w:val="23"/>
          <w:szCs w:val="23"/>
        </w:rPr>
      </w:pPr>
      <w:r>
        <w:rPr>
          <w:sz w:val="23"/>
          <w:szCs w:val="23"/>
        </w:rPr>
        <w:t xml:space="preserve">• The library’s own needs for display space take precedence in every instance. Otherwise, requests will be considered on a first-come basis. </w:t>
      </w:r>
    </w:p>
    <w:p w14:paraId="2BB4218C" w14:textId="77777777" w:rsidR="00CB06F1" w:rsidRDefault="00CB06F1" w:rsidP="00CB06F1">
      <w:pPr>
        <w:pStyle w:val="Default"/>
        <w:ind w:left="720"/>
        <w:rPr>
          <w:sz w:val="23"/>
          <w:szCs w:val="23"/>
        </w:rPr>
      </w:pPr>
      <w:r>
        <w:rPr>
          <w:sz w:val="23"/>
          <w:szCs w:val="23"/>
        </w:rPr>
        <w:t xml:space="preserve">• The requesting organization is entirely responsible for the timely set-up and takedown of any display. </w:t>
      </w:r>
    </w:p>
    <w:p w14:paraId="3877C603" w14:textId="77777777" w:rsidR="00CB06F1" w:rsidRDefault="00CB06F1" w:rsidP="00CB06F1">
      <w:pPr>
        <w:pStyle w:val="Default"/>
        <w:ind w:left="720"/>
        <w:rPr>
          <w:sz w:val="23"/>
          <w:szCs w:val="23"/>
        </w:rPr>
      </w:pPr>
      <w:r>
        <w:rPr>
          <w:sz w:val="23"/>
          <w:szCs w:val="23"/>
        </w:rPr>
        <w:t xml:space="preserve">• Community organizations shall abide by any specific instructions or requests the library shall make regarding the layout or content of the display. </w:t>
      </w:r>
    </w:p>
    <w:p w14:paraId="65F425DF" w14:textId="77777777" w:rsidR="00CB06F1" w:rsidRDefault="00CB06F1" w:rsidP="00CB06F1">
      <w:pPr>
        <w:pStyle w:val="Default"/>
        <w:ind w:left="720"/>
        <w:rPr>
          <w:sz w:val="23"/>
          <w:szCs w:val="23"/>
        </w:rPr>
      </w:pPr>
      <w:r>
        <w:rPr>
          <w:sz w:val="23"/>
          <w:szCs w:val="23"/>
        </w:rPr>
        <w:t xml:space="preserve">• Organizations must complete the “Waiver of Liability” form. </w:t>
      </w:r>
    </w:p>
    <w:p w14:paraId="625DD279" w14:textId="77777777" w:rsidR="00CB06F1" w:rsidRDefault="00CB06F1" w:rsidP="00CB06F1">
      <w:pPr>
        <w:pStyle w:val="Default"/>
        <w:rPr>
          <w:sz w:val="23"/>
          <w:szCs w:val="23"/>
        </w:rPr>
      </w:pPr>
    </w:p>
    <w:p w14:paraId="44604C77" w14:textId="77777777" w:rsidR="00CB06F1" w:rsidRDefault="00CB06F1" w:rsidP="00CB06F1">
      <w:pPr>
        <w:pStyle w:val="Default"/>
        <w:rPr>
          <w:sz w:val="23"/>
          <w:szCs w:val="23"/>
        </w:rPr>
      </w:pPr>
      <w:r>
        <w:rPr>
          <w:color w:val="1F4E79"/>
          <w:sz w:val="23"/>
          <w:szCs w:val="23"/>
        </w:rPr>
        <w:lastRenderedPageBreak/>
        <w:t xml:space="preserve">Display of local art: </w:t>
      </w:r>
      <w:r>
        <w:rPr>
          <w:sz w:val="23"/>
          <w:szCs w:val="23"/>
        </w:rPr>
        <w:t xml:space="preserve">Local art may be displayed at the discretion of the library director or designee. Displayed art will not be considered for sale. This may be in non-secure areas. See “Waiver of Liability.” </w:t>
      </w:r>
    </w:p>
    <w:p w14:paraId="0AD32E1B" w14:textId="77777777" w:rsidR="00CB06F1" w:rsidRDefault="00CB06F1" w:rsidP="00CB06F1">
      <w:pPr>
        <w:pStyle w:val="Default"/>
        <w:rPr>
          <w:color w:val="1F4E79"/>
          <w:sz w:val="23"/>
          <w:szCs w:val="23"/>
        </w:rPr>
      </w:pPr>
    </w:p>
    <w:p w14:paraId="3D624946" w14:textId="5F34E21C" w:rsidR="00CB06F1" w:rsidRDefault="00CB06F1" w:rsidP="00CB06F1">
      <w:pPr>
        <w:pStyle w:val="Default"/>
        <w:rPr>
          <w:sz w:val="23"/>
          <w:szCs w:val="23"/>
        </w:rPr>
      </w:pPr>
      <w:r>
        <w:rPr>
          <w:color w:val="1F4E79"/>
          <w:sz w:val="23"/>
          <w:szCs w:val="23"/>
        </w:rPr>
        <w:t xml:space="preserve">Book display: </w:t>
      </w:r>
      <w:r>
        <w:rPr>
          <w:sz w:val="23"/>
          <w:szCs w:val="23"/>
        </w:rPr>
        <w:t xml:space="preserve">Nonprofit community organizations occasionally request that a book display be created by the library in conjunction with posters, fliers, or brochures supplied by the organization. The library may agree to cooperate in such a project as time, staff availability, and materials permit. Organizations will have to sign the “Waiver of Liability” for any items they want returned. </w:t>
      </w:r>
    </w:p>
    <w:p w14:paraId="06FA7DAD" w14:textId="723686B8" w:rsidR="00F76360" w:rsidRDefault="00F76360" w:rsidP="00CB06F1">
      <w:pPr>
        <w:rPr>
          <w:color w:val="1F4E79"/>
          <w:sz w:val="23"/>
          <w:szCs w:val="23"/>
        </w:rPr>
      </w:pPr>
    </w:p>
    <w:p w14:paraId="4D6564C8" w14:textId="3C69445E" w:rsidR="00CB06F1" w:rsidRPr="00CB06F1" w:rsidRDefault="00CB06F1" w:rsidP="00CB06F1">
      <w:pPr>
        <w:kinsoku w:val="0"/>
        <w:overflowPunct w:val="0"/>
        <w:autoSpaceDE w:val="0"/>
        <w:autoSpaceDN w:val="0"/>
        <w:adjustRightInd w:val="0"/>
        <w:spacing w:before="57" w:line="259" w:lineRule="auto"/>
        <w:ind w:left="39"/>
        <w:rPr>
          <w:rFonts w:ascii="Calibri" w:eastAsiaTheme="minorHAnsi" w:hAnsi="Calibri" w:cs="Calibri"/>
          <w:color w:val="000000"/>
          <w:sz w:val="24"/>
          <w:szCs w:val="24"/>
        </w:rPr>
      </w:pPr>
      <w:r w:rsidRPr="00CB06F1">
        <w:rPr>
          <w:rFonts w:ascii="Calibri" w:eastAsiaTheme="minorHAnsi" w:hAnsi="Calibri" w:cs="Calibri"/>
          <w:color w:val="1F4E79"/>
          <w:sz w:val="24"/>
          <w:szCs w:val="24"/>
        </w:rPr>
        <w:t xml:space="preserve">Digital Sign Display: </w:t>
      </w:r>
      <w:r w:rsidRPr="00CB06F1">
        <w:rPr>
          <w:rFonts w:ascii="Calibri" w:eastAsiaTheme="minorHAnsi" w:hAnsi="Calibri" w:cs="Calibri"/>
          <w:color w:val="000000"/>
          <w:sz w:val="24"/>
          <w:szCs w:val="24"/>
        </w:rPr>
        <w:t>The purpose of the digital sign is to promote and market Library services, programs, events, and resources. Content is limited to library services and resources, and library</w:t>
      </w:r>
      <w:r>
        <w:rPr>
          <w:rFonts w:ascii="Calibri" w:eastAsiaTheme="minorHAnsi" w:hAnsi="Calibri" w:cs="Calibri"/>
          <w:color w:val="000000"/>
          <w:sz w:val="24"/>
          <w:szCs w:val="24"/>
        </w:rPr>
        <w:t xml:space="preserve"> </w:t>
      </w:r>
      <w:r w:rsidRPr="00CB06F1">
        <w:rPr>
          <w:rFonts w:ascii="Calibri" w:eastAsiaTheme="minorHAnsi" w:hAnsi="Calibri" w:cs="Calibri"/>
          <w:sz w:val="24"/>
          <w:szCs w:val="24"/>
        </w:rPr>
        <w:t>sponsored and co-sponsored events.</w:t>
      </w:r>
    </w:p>
    <w:p w14:paraId="664FBB9F" w14:textId="77777777" w:rsidR="00CB06F1" w:rsidRDefault="00CB06F1" w:rsidP="00CB06F1"/>
    <w:p w14:paraId="6090A837" w14:textId="77777777" w:rsidR="003612D6" w:rsidRDefault="003612D6" w:rsidP="00CB06F1"/>
    <w:p w14:paraId="55EA82C3" w14:textId="77777777" w:rsidR="003612D6" w:rsidRPr="003612D6" w:rsidRDefault="003612D6" w:rsidP="003612D6">
      <w:pPr>
        <w:kinsoku w:val="0"/>
        <w:overflowPunct w:val="0"/>
        <w:autoSpaceDE w:val="0"/>
        <w:autoSpaceDN w:val="0"/>
        <w:adjustRightInd w:val="0"/>
        <w:spacing w:line="203" w:lineRule="exact"/>
        <w:ind w:left="40"/>
        <w:jc w:val="right"/>
        <w:rPr>
          <w:rFonts w:ascii="Calibri" w:eastAsiaTheme="minorHAnsi" w:hAnsi="Calibri" w:cs="Calibri"/>
        </w:rPr>
      </w:pPr>
      <w:r w:rsidRPr="003612D6">
        <w:rPr>
          <w:rFonts w:ascii="Calibri" w:eastAsiaTheme="minorHAnsi" w:hAnsi="Calibri" w:cs="Calibri"/>
        </w:rPr>
        <w:t>R</w:t>
      </w:r>
      <w:r w:rsidRPr="003612D6">
        <w:rPr>
          <w:rFonts w:ascii="Calibri" w:eastAsiaTheme="minorHAnsi" w:hAnsi="Calibri" w:cs="Calibri"/>
          <w:sz w:val="16"/>
          <w:szCs w:val="16"/>
        </w:rPr>
        <w:t>EVISED</w:t>
      </w:r>
      <w:r w:rsidRPr="003612D6">
        <w:rPr>
          <w:rFonts w:ascii="Calibri" w:eastAsiaTheme="minorHAnsi" w:hAnsi="Calibri" w:cs="Calibri"/>
        </w:rPr>
        <w:t>/A</w:t>
      </w:r>
      <w:r w:rsidRPr="003612D6">
        <w:rPr>
          <w:rFonts w:ascii="Calibri" w:eastAsiaTheme="minorHAnsi" w:hAnsi="Calibri" w:cs="Calibri"/>
          <w:sz w:val="16"/>
          <w:szCs w:val="16"/>
        </w:rPr>
        <w:t xml:space="preserve">PPROVED BY </w:t>
      </w:r>
      <w:r w:rsidRPr="003612D6">
        <w:rPr>
          <w:rFonts w:ascii="Calibri" w:eastAsiaTheme="minorHAnsi" w:hAnsi="Calibri" w:cs="Calibri"/>
        </w:rPr>
        <w:t>L</w:t>
      </w:r>
      <w:r w:rsidRPr="003612D6">
        <w:rPr>
          <w:rFonts w:ascii="Calibri" w:eastAsiaTheme="minorHAnsi" w:hAnsi="Calibri" w:cs="Calibri"/>
          <w:sz w:val="16"/>
          <w:szCs w:val="16"/>
        </w:rPr>
        <w:t xml:space="preserve">IBRARY </w:t>
      </w:r>
      <w:r w:rsidRPr="003612D6">
        <w:rPr>
          <w:rFonts w:ascii="Calibri" w:eastAsiaTheme="minorHAnsi" w:hAnsi="Calibri" w:cs="Calibri"/>
        </w:rPr>
        <w:t>B</w:t>
      </w:r>
      <w:r w:rsidRPr="003612D6">
        <w:rPr>
          <w:rFonts w:ascii="Calibri" w:eastAsiaTheme="minorHAnsi" w:hAnsi="Calibri" w:cs="Calibri"/>
          <w:sz w:val="16"/>
          <w:szCs w:val="16"/>
        </w:rPr>
        <w:t xml:space="preserve">OARD OF </w:t>
      </w:r>
      <w:r w:rsidRPr="003612D6">
        <w:rPr>
          <w:rFonts w:ascii="Calibri" w:eastAsiaTheme="minorHAnsi" w:hAnsi="Calibri" w:cs="Calibri"/>
        </w:rPr>
        <w:t>T</w:t>
      </w:r>
      <w:r w:rsidRPr="003612D6">
        <w:rPr>
          <w:rFonts w:ascii="Calibri" w:eastAsiaTheme="minorHAnsi" w:hAnsi="Calibri" w:cs="Calibri"/>
          <w:sz w:val="16"/>
          <w:szCs w:val="16"/>
        </w:rPr>
        <w:t xml:space="preserve">RUSTEES </w:t>
      </w:r>
      <w:r w:rsidRPr="003612D6">
        <w:rPr>
          <w:rFonts w:ascii="Calibri" w:eastAsiaTheme="minorHAnsi" w:hAnsi="Calibri" w:cs="Calibri"/>
        </w:rPr>
        <w:t>| S</w:t>
      </w:r>
      <w:r w:rsidRPr="003612D6">
        <w:rPr>
          <w:rFonts w:ascii="Calibri" w:eastAsiaTheme="minorHAnsi" w:hAnsi="Calibri" w:cs="Calibri"/>
          <w:sz w:val="16"/>
          <w:szCs w:val="16"/>
        </w:rPr>
        <w:t xml:space="preserve">EPTEMBER </w:t>
      </w:r>
      <w:r w:rsidRPr="003612D6">
        <w:rPr>
          <w:rFonts w:ascii="Calibri" w:eastAsiaTheme="minorHAnsi" w:hAnsi="Calibri" w:cs="Calibri"/>
        </w:rPr>
        <w:t>2023</w:t>
      </w:r>
    </w:p>
    <w:p w14:paraId="0A70DABB" w14:textId="77777777" w:rsidR="003612D6" w:rsidRPr="00CB06F1" w:rsidRDefault="003612D6" w:rsidP="00CB06F1"/>
    <w:sectPr w:rsidR="003612D6" w:rsidRPr="00CB06F1" w:rsidSect="002300AF">
      <w:pgSz w:w="12240" w:h="15840"/>
      <w:pgMar w:top="720" w:right="1440" w:bottom="126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E32B1" w14:textId="77777777" w:rsidR="002300AF" w:rsidRDefault="002300AF" w:rsidP="002300AF">
      <w:r>
        <w:separator/>
      </w:r>
    </w:p>
  </w:endnote>
  <w:endnote w:type="continuationSeparator" w:id="0">
    <w:p w14:paraId="08315692" w14:textId="77777777" w:rsidR="002300AF" w:rsidRDefault="002300AF" w:rsidP="0023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D9BA7" w14:textId="77777777" w:rsidR="002300AF" w:rsidRDefault="002300AF" w:rsidP="002300AF">
      <w:r>
        <w:separator/>
      </w:r>
    </w:p>
  </w:footnote>
  <w:footnote w:type="continuationSeparator" w:id="0">
    <w:p w14:paraId="159A8F9B" w14:textId="77777777" w:rsidR="002300AF" w:rsidRDefault="002300AF" w:rsidP="00230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7D9C"/>
    <w:multiLevelType w:val="hybridMultilevel"/>
    <w:tmpl w:val="2C10A62E"/>
    <w:lvl w:ilvl="0" w:tplc="4B94C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F11B6"/>
    <w:multiLevelType w:val="hybridMultilevel"/>
    <w:tmpl w:val="662070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A1895"/>
    <w:multiLevelType w:val="hybridMultilevel"/>
    <w:tmpl w:val="A7A03898"/>
    <w:lvl w:ilvl="0" w:tplc="30BE6C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80986"/>
    <w:multiLevelType w:val="singleLevel"/>
    <w:tmpl w:val="FC68DB2C"/>
    <w:lvl w:ilvl="0">
      <w:start w:val="1"/>
      <w:numFmt w:val="decimal"/>
      <w:lvlText w:val="%1."/>
      <w:lvlJc w:val="left"/>
      <w:pPr>
        <w:tabs>
          <w:tab w:val="num" w:pos="720"/>
        </w:tabs>
        <w:ind w:left="720" w:hanging="720"/>
      </w:pPr>
      <w:rPr>
        <w:rFonts w:hint="default"/>
      </w:rPr>
    </w:lvl>
  </w:abstractNum>
  <w:abstractNum w:abstractNumId="4" w15:restartNumberingAfterBreak="0">
    <w:nsid w:val="59A85A61"/>
    <w:multiLevelType w:val="hybridMultilevel"/>
    <w:tmpl w:val="21B692EA"/>
    <w:lvl w:ilvl="0" w:tplc="4B94C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C24B3"/>
    <w:multiLevelType w:val="hybridMultilevel"/>
    <w:tmpl w:val="15E0869A"/>
    <w:lvl w:ilvl="0" w:tplc="83025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074919">
    <w:abstractNumId w:val="3"/>
  </w:num>
  <w:num w:numId="2" w16cid:durableId="1844280372">
    <w:abstractNumId w:val="4"/>
  </w:num>
  <w:num w:numId="3" w16cid:durableId="2086952442">
    <w:abstractNumId w:val="5"/>
  </w:num>
  <w:num w:numId="4" w16cid:durableId="1442185476">
    <w:abstractNumId w:val="2"/>
  </w:num>
  <w:num w:numId="5" w16cid:durableId="649553360">
    <w:abstractNumId w:val="1"/>
  </w:num>
  <w:num w:numId="6" w16cid:durableId="69346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AF"/>
    <w:rsid w:val="00027777"/>
    <w:rsid w:val="00110DC5"/>
    <w:rsid w:val="0011147E"/>
    <w:rsid w:val="002300AF"/>
    <w:rsid w:val="002D176F"/>
    <w:rsid w:val="003612D6"/>
    <w:rsid w:val="00547499"/>
    <w:rsid w:val="00593F8D"/>
    <w:rsid w:val="0068759D"/>
    <w:rsid w:val="00794CB9"/>
    <w:rsid w:val="00BD1C49"/>
    <w:rsid w:val="00C1035C"/>
    <w:rsid w:val="00CB06F1"/>
    <w:rsid w:val="00F7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DB3EDF"/>
  <w15:chartTrackingRefBased/>
  <w15:docId w15:val="{3E13C0D1-C549-4C4B-AECC-5442FC1B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00AF"/>
    <w:pPr>
      <w:jc w:val="center"/>
    </w:pPr>
    <w:rPr>
      <w:sz w:val="28"/>
    </w:rPr>
  </w:style>
  <w:style w:type="character" w:customStyle="1" w:styleId="TitleChar">
    <w:name w:val="Title Char"/>
    <w:basedOn w:val="DefaultParagraphFont"/>
    <w:link w:val="Title"/>
    <w:rsid w:val="002300AF"/>
    <w:rPr>
      <w:rFonts w:ascii="Times New Roman" w:eastAsia="Times New Roman" w:hAnsi="Times New Roman" w:cs="Times New Roman"/>
      <w:sz w:val="28"/>
      <w:szCs w:val="20"/>
    </w:rPr>
  </w:style>
  <w:style w:type="paragraph" w:styleId="BodyText">
    <w:name w:val="Body Text"/>
    <w:basedOn w:val="Normal"/>
    <w:link w:val="BodyTextChar"/>
    <w:semiHidden/>
    <w:rsid w:val="002300AF"/>
    <w:rPr>
      <w:rFonts w:ascii="News Gothic MT" w:hAnsi="News Gothic MT"/>
      <w:b/>
      <w:bCs/>
      <w:sz w:val="24"/>
    </w:rPr>
  </w:style>
  <w:style w:type="character" w:customStyle="1" w:styleId="BodyTextChar">
    <w:name w:val="Body Text Char"/>
    <w:basedOn w:val="DefaultParagraphFont"/>
    <w:link w:val="BodyText"/>
    <w:semiHidden/>
    <w:rsid w:val="002300AF"/>
    <w:rPr>
      <w:rFonts w:ascii="News Gothic MT" w:eastAsia="Times New Roman" w:hAnsi="News Gothic MT" w:cs="Times New Roman"/>
      <w:b/>
      <w:bCs/>
      <w:sz w:val="24"/>
      <w:szCs w:val="20"/>
    </w:rPr>
  </w:style>
  <w:style w:type="paragraph" w:styleId="ListParagraph">
    <w:name w:val="List Paragraph"/>
    <w:basedOn w:val="Normal"/>
    <w:uiPriority w:val="34"/>
    <w:qFormat/>
    <w:rsid w:val="002300AF"/>
    <w:pPr>
      <w:ind w:left="720"/>
    </w:pPr>
  </w:style>
  <w:style w:type="paragraph" w:styleId="Header">
    <w:name w:val="header"/>
    <w:basedOn w:val="Normal"/>
    <w:link w:val="HeaderChar"/>
    <w:uiPriority w:val="99"/>
    <w:unhideWhenUsed/>
    <w:rsid w:val="002300AF"/>
    <w:pPr>
      <w:tabs>
        <w:tab w:val="center" w:pos="4680"/>
        <w:tab w:val="right" w:pos="9360"/>
      </w:tabs>
    </w:pPr>
  </w:style>
  <w:style w:type="character" w:customStyle="1" w:styleId="HeaderChar">
    <w:name w:val="Header Char"/>
    <w:basedOn w:val="DefaultParagraphFont"/>
    <w:link w:val="Header"/>
    <w:uiPriority w:val="99"/>
    <w:rsid w:val="002300A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00AF"/>
    <w:pPr>
      <w:tabs>
        <w:tab w:val="center" w:pos="4680"/>
        <w:tab w:val="right" w:pos="9360"/>
      </w:tabs>
    </w:pPr>
  </w:style>
  <w:style w:type="character" w:customStyle="1" w:styleId="FooterChar">
    <w:name w:val="Footer Char"/>
    <w:basedOn w:val="DefaultParagraphFont"/>
    <w:link w:val="Footer"/>
    <w:uiPriority w:val="99"/>
    <w:rsid w:val="002300AF"/>
    <w:rPr>
      <w:rFonts w:ascii="Times New Roman" w:eastAsia="Times New Roman" w:hAnsi="Times New Roman" w:cs="Times New Roman"/>
      <w:sz w:val="20"/>
      <w:szCs w:val="20"/>
    </w:rPr>
  </w:style>
  <w:style w:type="paragraph" w:customStyle="1" w:styleId="Default">
    <w:name w:val="Default"/>
    <w:rsid w:val="00CB06F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dc:creator>
  <cp:keywords/>
  <dc:description/>
  <cp:lastModifiedBy>Erin Coughlin</cp:lastModifiedBy>
  <cp:revision>5</cp:revision>
  <dcterms:created xsi:type="dcterms:W3CDTF">2023-09-15T19:41:00Z</dcterms:created>
  <dcterms:modified xsi:type="dcterms:W3CDTF">2024-05-21T16:18:00Z</dcterms:modified>
</cp:coreProperties>
</file>